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59E335" w14:textId="77777777" w:rsidR="00C63299" w:rsidRPr="00C071B7" w:rsidRDefault="00C63299" w:rsidP="00C63299">
      <w:pPr>
        <w:jc w:val="center"/>
        <w:rPr>
          <w:b/>
          <w:bCs/>
          <w:color w:val="FF0000"/>
          <w:sz w:val="32"/>
          <w:szCs w:val="32"/>
        </w:rPr>
      </w:pPr>
      <w:r w:rsidRPr="00C071B7">
        <w:rPr>
          <w:b/>
          <w:bCs/>
          <w:color w:val="FF0000"/>
          <w:sz w:val="32"/>
          <w:szCs w:val="32"/>
        </w:rPr>
        <w:t xml:space="preserve">Unpublished Writing Sample </w:t>
      </w:r>
    </w:p>
    <w:p w14:paraId="4FA08914" w14:textId="32770191" w:rsidR="00C63299" w:rsidRPr="008D244F" w:rsidRDefault="00C63299" w:rsidP="00C63299">
      <w:pPr>
        <w:spacing w:line="240" w:lineRule="auto"/>
        <w:jc w:val="center"/>
        <w:rPr>
          <w:sz w:val="32"/>
          <w:szCs w:val="32"/>
        </w:rPr>
      </w:pPr>
      <w:r w:rsidRPr="008D244F">
        <w:rPr>
          <w:sz w:val="32"/>
          <w:szCs w:val="32"/>
        </w:rPr>
        <w:t>Theoretical Causes and Treatments for Long COVID Cardiovascular Conditions</w:t>
      </w:r>
    </w:p>
    <w:p w14:paraId="5CB7A572" w14:textId="77777777" w:rsidR="00C63299" w:rsidRPr="00655CF0" w:rsidRDefault="00C63299" w:rsidP="00C63299">
      <w:pPr>
        <w:spacing w:line="240" w:lineRule="auto"/>
        <w:jc w:val="center"/>
        <w:rPr>
          <w:color w:val="FF0000"/>
        </w:rPr>
      </w:pPr>
    </w:p>
    <w:p w14:paraId="0C52F6CF" w14:textId="77777777" w:rsidR="00C63299" w:rsidRPr="00B04D23" w:rsidRDefault="00C63299" w:rsidP="00C63299">
      <w:pPr>
        <w:spacing w:line="240" w:lineRule="auto"/>
        <w:rPr>
          <w:sz w:val="24"/>
          <w:szCs w:val="24"/>
        </w:rPr>
      </w:pPr>
      <w:r w:rsidRPr="00B04D23">
        <w:rPr>
          <w:sz w:val="24"/>
          <w:szCs w:val="24"/>
        </w:rPr>
        <w:t>Learning Objectives</w:t>
      </w:r>
    </w:p>
    <w:p w14:paraId="65D3285B" w14:textId="77777777" w:rsidR="00C63299" w:rsidRDefault="00C63299" w:rsidP="00C63299">
      <w:pPr>
        <w:pStyle w:val="ListParagraph"/>
        <w:numPr>
          <w:ilvl w:val="0"/>
          <w:numId w:val="1"/>
        </w:numPr>
        <w:spacing w:line="240" w:lineRule="auto"/>
      </w:pPr>
      <w:r>
        <w:t xml:space="preserve">Assess a patient’s risk for experiencing Long COVID. </w:t>
      </w:r>
    </w:p>
    <w:p w14:paraId="70C01DFF" w14:textId="77777777" w:rsidR="00C63299" w:rsidRDefault="00C63299" w:rsidP="00C63299">
      <w:pPr>
        <w:pStyle w:val="ListParagraph"/>
        <w:numPr>
          <w:ilvl w:val="0"/>
          <w:numId w:val="1"/>
        </w:numPr>
        <w:spacing w:line="240" w:lineRule="auto"/>
      </w:pPr>
      <w:r>
        <w:t xml:space="preserve">Compare the various theories for why Long COVID cardiac symptoms develop in patients. </w:t>
      </w:r>
    </w:p>
    <w:p w14:paraId="154BB1E8" w14:textId="77777777" w:rsidR="00C63299" w:rsidRDefault="00C63299" w:rsidP="00C63299">
      <w:pPr>
        <w:pStyle w:val="ListParagraph"/>
        <w:numPr>
          <w:ilvl w:val="0"/>
          <w:numId w:val="1"/>
        </w:numPr>
        <w:spacing w:line="240" w:lineRule="auto"/>
      </w:pPr>
      <w:r>
        <w:t xml:space="preserve">Demonstrate how to diagnose and treat patients with Long COVID cardiac conditions. </w:t>
      </w:r>
    </w:p>
    <w:p w14:paraId="13F4C4E9" w14:textId="77777777" w:rsidR="00C63299" w:rsidRDefault="00C63299" w:rsidP="00C63299">
      <w:pPr>
        <w:spacing w:line="240" w:lineRule="auto"/>
      </w:pPr>
    </w:p>
    <w:p w14:paraId="3032D7E4" w14:textId="77777777" w:rsidR="00C63299" w:rsidRDefault="00C63299" w:rsidP="00C63299">
      <w:pPr>
        <w:spacing w:line="240" w:lineRule="auto"/>
      </w:pPr>
    </w:p>
    <w:p w14:paraId="299116FA" w14:textId="77777777" w:rsidR="00C63299" w:rsidRDefault="00C63299" w:rsidP="00C63299">
      <w:pPr>
        <w:spacing w:line="240" w:lineRule="auto"/>
      </w:pPr>
      <w:r w:rsidRPr="002B3822">
        <w:t xml:space="preserve">It seems like COVID rolls the dice each time </w:t>
      </w:r>
      <w:r>
        <w:t xml:space="preserve">it infects someone </w:t>
      </w:r>
      <w:r w:rsidRPr="002B3822">
        <w:t xml:space="preserve">and the unlucky few develop Long COVID. </w:t>
      </w:r>
      <w:r>
        <w:t>Researchers are still trying to determine why some patients develop Long COVID. The CDC defines Long COVID as symptoms continuing at least 4 weeks after acute infection.</w:t>
      </w:r>
      <w:r>
        <w:rPr>
          <w:vertAlign w:val="superscript"/>
        </w:rPr>
        <w:t>1</w:t>
      </w:r>
      <w:r>
        <w:t xml:space="preserve"> </w:t>
      </w:r>
      <w:r w:rsidRPr="004B5BF0">
        <w:t>There are two types of extended COVID infections: Long COVID and post-acute COVID.</w:t>
      </w:r>
      <w:r>
        <w:t xml:space="preserve"> Post-acute COVID is an infection lasting 3-12 weeks after initial symptoms. Long COVID lasts longer than 12 weeks.</w:t>
      </w:r>
      <w:r>
        <w:rPr>
          <w:vertAlign w:val="superscript"/>
        </w:rPr>
        <w:t>2</w:t>
      </w:r>
      <w:r>
        <w:t xml:space="preserve"> </w:t>
      </w:r>
    </w:p>
    <w:p w14:paraId="3E2B43CC" w14:textId="77777777" w:rsidR="00C63299" w:rsidRDefault="00C63299" w:rsidP="00C63299">
      <w:pPr>
        <w:spacing w:line="240" w:lineRule="auto"/>
      </w:pPr>
      <w:r>
        <w:t xml:space="preserve">Long COVID’s prevalence is difficult to assess because data collections vary. Some estimates state that 10-30% of COVID patients will develop Long COVID after the </w:t>
      </w:r>
      <w:r w:rsidRPr="00F037B8">
        <w:t>acute phase.</w:t>
      </w:r>
      <w:r w:rsidRPr="00F037B8">
        <w:rPr>
          <w:vertAlign w:val="superscript"/>
        </w:rPr>
        <w:t>3</w:t>
      </w:r>
      <w:r w:rsidRPr="00F037B8">
        <w:t xml:space="preserve"> Risk factors for Long COVID include older age, pre-existing comorbidities, female sex, and severe acute COVID.</w:t>
      </w:r>
      <w:r w:rsidRPr="00F037B8">
        <w:rPr>
          <w:vertAlign w:val="superscript"/>
        </w:rPr>
        <w:t>4</w:t>
      </w:r>
      <w:r w:rsidRPr="00F037B8">
        <w:t xml:space="preserve"> One study found that ICU COVID patients were five times more likely to develop Long COVID.</w:t>
      </w:r>
      <w:r w:rsidRPr="00F037B8">
        <w:rPr>
          <w:vertAlign w:val="superscript"/>
        </w:rPr>
        <w:t>5</w:t>
      </w:r>
      <w:r>
        <w:t xml:space="preserve"> </w:t>
      </w:r>
    </w:p>
    <w:p w14:paraId="1CD4ADD2" w14:textId="77777777" w:rsidR="00C63299" w:rsidRDefault="00C63299" w:rsidP="00C63299">
      <w:pPr>
        <w:spacing w:line="240" w:lineRule="auto"/>
      </w:pPr>
      <w:r>
        <w:t>Long COVID’s symptoms vary as much as the acute infection. This article will explore the cardiac symptoms associated with Long COVID. One cohort study by Xie et al found an increased risk of cardiovascular (CV) events for up to 12 months after acute COVID.</w:t>
      </w:r>
      <w:r>
        <w:rPr>
          <w:vertAlign w:val="superscript"/>
        </w:rPr>
        <w:t>6</w:t>
      </w:r>
      <w:r>
        <w:t xml:space="preserve"> This elevated risk even existed in patients not hospitalized for COVID.</w:t>
      </w:r>
      <w:r>
        <w:rPr>
          <w:vertAlign w:val="superscript"/>
        </w:rPr>
        <w:t>6</w:t>
      </w:r>
      <w:r>
        <w:t xml:space="preserve"> The study discovered patients had a lower cardiac risk before their acute infection.</w:t>
      </w:r>
      <w:r>
        <w:rPr>
          <w:vertAlign w:val="superscript"/>
        </w:rPr>
        <w:t>6</w:t>
      </w:r>
      <w:r>
        <w:t xml:space="preserve"> Their risk increased after the acute COVID phase.</w:t>
      </w:r>
    </w:p>
    <w:p w14:paraId="261D1A6C" w14:textId="77777777" w:rsidR="00C63299" w:rsidRDefault="00C63299" w:rsidP="00C63299">
      <w:pPr>
        <w:spacing w:line="240" w:lineRule="auto"/>
      </w:pPr>
      <w:r>
        <w:t>Cardiac conditions associated with COVID can affect anyone, regardless of infection severity.</w:t>
      </w:r>
      <w:r>
        <w:rPr>
          <w:vertAlign w:val="superscript"/>
        </w:rPr>
        <w:t>7</w:t>
      </w:r>
      <w:r>
        <w:t xml:space="preserve"> </w:t>
      </w:r>
      <w:r w:rsidRPr="00807F9B">
        <w:t>Documented Long COVID</w:t>
      </w:r>
      <w:r>
        <w:t xml:space="preserve"> cardiac symptoms include atrial fibrillation, tachycardia, bradycardia, acute coronary disease, thrombosis, pericarditis, and myocarditis.</w:t>
      </w:r>
      <w:r>
        <w:rPr>
          <w:vertAlign w:val="superscript"/>
        </w:rPr>
        <w:t>8</w:t>
      </w:r>
      <w:r>
        <w:t xml:space="preserve"> Most cardiac conditions in patients with Long COVID are postural orthostatic tachycardia syndrome (POTS), exercise intolerance, and arrhythmias.</w:t>
      </w:r>
      <w:r>
        <w:rPr>
          <w:vertAlign w:val="superscript"/>
        </w:rPr>
        <w:t>9</w:t>
      </w:r>
      <w:r>
        <w:t xml:space="preserve"> Other patients may also experience new onset heart failure, stress cardiomyopathy, and acute coronary syndrome.</w:t>
      </w:r>
      <w:r>
        <w:rPr>
          <w:vertAlign w:val="superscript"/>
        </w:rPr>
        <w:t>10</w:t>
      </w:r>
      <w:r>
        <w:t xml:space="preserve"> </w:t>
      </w:r>
    </w:p>
    <w:p w14:paraId="458B5F80" w14:textId="77777777" w:rsidR="00C63299" w:rsidRDefault="00C63299" w:rsidP="00C63299">
      <w:pPr>
        <w:spacing w:line="240" w:lineRule="auto"/>
      </w:pPr>
    </w:p>
    <w:p w14:paraId="0EDB892B" w14:textId="77777777" w:rsidR="00C63299" w:rsidRPr="0071025D" w:rsidRDefault="00C63299" w:rsidP="00C63299">
      <w:pPr>
        <w:spacing w:line="240" w:lineRule="auto"/>
        <w:rPr>
          <w:sz w:val="28"/>
          <w:szCs w:val="28"/>
        </w:rPr>
      </w:pPr>
      <w:r w:rsidRPr="0071025D">
        <w:rPr>
          <w:sz w:val="28"/>
          <w:szCs w:val="28"/>
        </w:rPr>
        <w:t>Theoretical Causes of Cardiac Conditions in Long COVID</w:t>
      </w:r>
    </w:p>
    <w:p w14:paraId="1729FE08" w14:textId="77777777" w:rsidR="00C63299" w:rsidRDefault="00C63299" w:rsidP="00C63299">
      <w:pPr>
        <w:spacing w:line="240" w:lineRule="auto"/>
      </w:pPr>
      <w:r>
        <w:t>The exact cause of Long COVID is still unknown, but several hypotheses exist. Some evidence suggests that certain COVID variants increase the risk for Long COVID. A case-controlled study compared the delta and omicron variants for Long COVID risk.</w:t>
      </w:r>
      <w:r>
        <w:rPr>
          <w:vertAlign w:val="superscript"/>
        </w:rPr>
        <w:t>11</w:t>
      </w:r>
      <w:r>
        <w:t xml:space="preserve"> The study found that 4.5% of omicron patients developed Long COVID compared to 10.8% of delta patients.</w:t>
      </w:r>
      <w:r>
        <w:rPr>
          <w:vertAlign w:val="superscript"/>
        </w:rPr>
        <w:t>11</w:t>
      </w:r>
      <w:r>
        <w:t xml:space="preserve"> How patients develop cardiac issues in Long COVID is also a mystery. It is unclear if COVID causes cardiac issues </w:t>
      </w:r>
      <w:r>
        <w:lastRenderedPageBreak/>
        <w:t>or if it’s the body’s immune response to COVID. There are several theories as to why cardiac problems arise.</w:t>
      </w:r>
      <w:r>
        <w:rPr>
          <w:vertAlign w:val="superscript"/>
        </w:rPr>
        <w:t>12</w:t>
      </w:r>
      <w:r>
        <w:t xml:space="preserve"> We will review a few of these theoretical causes.</w:t>
      </w:r>
    </w:p>
    <w:p w14:paraId="4103305A" w14:textId="77777777" w:rsidR="00C63299" w:rsidRDefault="00C63299" w:rsidP="00C63299">
      <w:pPr>
        <w:spacing w:line="240" w:lineRule="auto"/>
      </w:pPr>
    </w:p>
    <w:p w14:paraId="3262D66C" w14:textId="77777777" w:rsidR="00C63299" w:rsidRPr="008611CB" w:rsidRDefault="00C63299" w:rsidP="00C63299">
      <w:pPr>
        <w:spacing w:line="240" w:lineRule="auto"/>
        <w:rPr>
          <w:sz w:val="24"/>
          <w:szCs w:val="24"/>
        </w:rPr>
      </w:pPr>
      <w:r w:rsidRPr="008611CB">
        <w:rPr>
          <w:sz w:val="24"/>
          <w:szCs w:val="24"/>
        </w:rPr>
        <w:t>Vascular Thromboinflammation</w:t>
      </w:r>
    </w:p>
    <w:p w14:paraId="14C8AC07" w14:textId="77777777" w:rsidR="00C63299" w:rsidRPr="00B3288D" w:rsidRDefault="00C63299" w:rsidP="00C63299">
      <w:pPr>
        <w:spacing w:line="240" w:lineRule="auto"/>
      </w:pPr>
      <w:r>
        <w:t>Vascular thromboinflammation appears to have a role in Long COVID</w:t>
      </w:r>
      <w:r w:rsidRPr="00726E37">
        <w:t>. After an acute COVID infection</w:t>
      </w:r>
      <w:r>
        <w:t>, some patients experience arterial and venous clotting.</w:t>
      </w:r>
      <w:r>
        <w:rPr>
          <w:vertAlign w:val="superscript"/>
        </w:rPr>
        <w:t>13</w:t>
      </w:r>
      <w:r>
        <w:t xml:space="preserve"> The acute infection may cause endothelial injury, thus leading to thrombosis for healing. This process can form microthrombi.</w:t>
      </w:r>
      <w:r>
        <w:rPr>
          <w:vertAlign w:val="superscript"/>
        </w:rPr>
        <w:t>14</w:t>
      </w:r>
      <w:r>
        <w:t xml:space="preserve"> One </w:t>
      </w:r>
      <w:r>
        <w:rPr>
          <w:i/>
          <w:iCs/>
        </w:rPr>
        <w:t>in vitro</w:t>
      </w:r>
      <w:r>
        <w:t xml:space="preserve"> study placed non-COVID donor platelets in COVID survivor plasma. The non-COVID platelets increased CD62p expression after exposure to COVID survivor plasma.</w:t>
      </w:r>
      <w:r>
        <w:rPr>
          <w:vertAlign w:val="superscript"/>
        </w:rPr>
        <w:t>15</w:t>
      </w:r>
      <w:r>
        <w:t xml:space="preserve"> CD62p appears on platelet surfaces after thrombosis activation.</w:t>
      </w:r>
      <w:r>
        <w:rPr>
          <w:vertAlign w:val="superscript"/>
        </w:rPr>
        <w:t>16</w:t>
      </w:r>
      <w:r>
        <w:t xml:space="preserve"> This finding demonstrates the increased thrombin activity after an acute infection. </w:t>
      </w:r>
    </w:p>
    <w:p w14:paraId="717C4442" w14:textId="77777777" w:rsidR="00C63299" w:rsidRDefault="00C63299" w:rsidP="00C63299">
      <w:pPr>
        <w:spacing w:line="240" w:lineRule="auto"/>
      </w:pPr>
    </w:p>
    <w:p w14:paraId="47538F43" w14:textId="77777777" w:rsidR="00C63299" w:rsidRPr="008611CB" w:rsidRDefault="00C63299" w:rsidP="00C63299">
      <w:pPr>
        <w:spacing w:line="240" w:lineRule="auto"/>
        <w:rPr>
          <w:sz w:val="24"/>
          <w:szCs w:val="24"/>
        </w:rPr>
      </w:pPr>
      <w:r w:rsidRPr="008611CB">
        <w:rPr>
          <w:sz w:val="24"/>
          <w:szCs w:val="24"/>
        </w:rPr>
        <w:t>Residual Viral Reservoirs</w:t>
      </w:r>
    </w:p>
    <w:p w14:paraId="6BABDDC5" w14:textId="77777777" w:rsidR="00C63299" w:rsidRDefault="00C63299" w:rsidP="00C63299">
      <w:pPr>
        <w:spacing w:line="240" w:lineRule="auto"/>
      </w:pPr>
      <w:r w:rsidRPr="00297813">
        <w:t>Post-infection viral reservoirs may contribute to Long COVID. One study found COVID</w:t>
      </w:r>
      <w:r>
        <w:t xml:space="preserve"> antigen in intestinal tissue in Long COVID patients.</w:t>
      </w:r>
      <w:r>
        <w:rPr>
          <w:vertAlign w:val="superscript"/>
        </w:rPr>
        <w:t>17</w:t>
      </w:r>
      <w:r>
        <w:t xml:space="preserve"> This is still a hypothesis that warrants further study, but the theory is enticing. It may explain why patients with milder infections experience Long COVID.</w:t>
      </w:r>
      <w:r>
        <w:rPr>
          <w:vertAlign w:val="superscript"/>
        </w:rPr>
        <w:t>10</w:t>
      </w:r>
      <w:r>
        <w:t xml:space="preserve"> </w:t>
      </w:r>
    </w:p>
    <w:p w14:paraId="3B67C601" w14:textId="77777777" w:rsidR="00C63299" w:rsidRDefault="00C63299" w:rsidP="00C63299">
      <w:pPr>
        <w:spacing w:line="240" w:lineRule="auto"/>
      </w:pPr>
    </w:p>
    <w:p w14:paraId="1723DC86" w14:textId="77777777" w:rsidR="00C63299" w:rsidRPr="008611CB" w:rsidRDefault="00C63299" w:rsidP="00C63299">
      <w:pPr>
        <w:spacing w:line="240" w:lineRule="auto"/>
        <w:rPr>
          <w:sz w:val="24"/>
          <w:szCs w:val="24"/>
        </w:rPr>
      </w:pPr>
      <w:r w:rsidRPr="008611CB">
        <w:rPr>
          <w:sz w:val="24"/>
          <w:szCs w:val="24"/>
        </w:rPr>
        <w:t>Formation of Cardiac Autoantibodies</w:t>
      </w:r>
    </w:p>
    <w:p w14:paraId="55CFB115" w14:textId="77777777" w:rsidR="00C63299" w:rsidRDefault="00C63299" w:rsidP="00C63299">
      <w:pPr>
        <w:spacing w:line="240" w:lineRule="auto"/>
      </w:pPr>
      <w:r>
        <w:t>Another theory is that cardiac autoantibodies cause Long COVID cardiac symptoms. Fagyas et al wondered if an autoimmune response created cardiac autoantibodies. Their control group was non-COVID patients that had heart failure with dilated cardiomyopathy or severe aortic stenosis.</w:t>
      </w:r>
      <w:r>
        <w:rPr>
          <w:vertAlign w:val="superscript"/>
        </w:rPr>
        <w:t>18</w:t>
      </w:r>
      <w:r>
        <w:t xml:space="preserve"> Most of the COVID group was hospitalized.</w:t>
      </w:r>
      <w:r>
        <w:rPr>
          <w:vertAlign w:val="superscript"/>
        </w:rPr>
        <w:t>18</w:t>
      </w:r>
      <w:r>
        <w:t xml:space="preserve"> The researchers tested for IgG and IgM antibodies.</w:t>
      </w:r>
      <w:r>
        <w:rPr>
          <w:vertAlign w:val="superscript"/>
        </w:rPr>
        <w:t>18</w:t>
      </w:r>
      <w:r>
        <w:t xml:space="preserve"> Tables 1 and 2 show the test results between the patient groups. The results suggest that COVID may cause the formation of cardiac autoantibodies. These antibodies could cause cardiac damage that results in Long COVID. </w:t>
      </w:r>
    </w:p>
    <w:p w14:paraId="1BC95982" w14:textId="77777777" w:rsidR="00C63299" w:rsidRDefault="00C63299" w:rsidP="00C63299">
      <w:pPr>
        <w:spacing w:after="0" w:line="240" w:lineRule="auto"/>
      </w:pPr>
      <w:r w:rsidRPr="00372C4E">
        <w:rPr>
          <w:b/>
          <w:bCs/>
        </w:rPr>
        <w:t>Table 1</w:t>
      </w:r>
      <w:r>
        <w:t>. COVID and Heart Failure Patients Positive for IgG and IgM antibodies</w:t>
      </w:r>
      <w:r>
        <w:rPr>
          <w:vertAlign w:val="superscript"/>
        </w:rPr>
        <w:t>18</w:t>
      </w:r>
      <w:r>
        <w:t xml:space="preserve"> </w:t>
      </w:r>
    </w:p>
    <w:tbl>
      <w:tblPr>
        <w:tblStyle w:val="TableGrid"/>
        <w:tblW w:w="9360" w:type="dxa"/>
        <w:tblLayout w:type="fixed"/>
        <w:tblLook w:val="06A0" w:firstRow="1" w:lastRow="0" w:firstColumn="1" w:lastColumn="0" w:noHBand="1" w:noVBand="1"/>
      </w:tblPr>
      <w:tblGrid>
        <w:gridCol w:w="2584"/>
        <w:gridCol w:w="1944"/>
        <w:gridCol w:w="2416"/>
        <w:gridCol w:w="2416"/>
      </w:tblGrid>
      <w:tr w:rsidR="00C63299" w14:paraId="11F159D2" w14:textId="77777777" w:rsidTr="00D8456E">
        <w:trPr>
          <w:trHeight w:val="300"/>
        </w:trPr>
        <w:tc>
          <w:tcPr>
            <w:tcW w:w="2584" w:type="dxa"/>
          </w:tcPr>
          <w:p w14:paraId="167B92C4" w14:textId="77777777" w:rsidR="00C63299" w:rsidRDefault="00C63299" w:rsidP="00D8456E"/>
        </w:tc>
        <w:tc>
          <w:tcPr>
            <w:tcW w:w="1944" w:type="dxa"/>
          </w:tcPr>
          <w:p w14:paraId="1DBA2812" w14:textId="77777777" w:rsidR="00C63299" w:rsidRPr="00510FCA" w:rsidRDefault="00C63299" w:rsidP="00D8456E">
            <w:pPr>
              <w:rPr>
                <w:b/>
                <w:bCs/>
              </w:rPr>
            </w:pPr>
            <w:r w:rsidRPr="00510FCA">
              <w:rPr>
                <w:b/>
                <w:bCs/>
              </w:rPr>
              <w:t>COVID patients</w:t>
            </w:r>
          </w:p>
        </w:tc>
        <w:tc>
          <w:tcPr>
            <w:tcW w:w="2416" w:type="dxa"/>
          </w:tcPr>
          <w:p w14:paraId="099FFD3B" w14:textId="77777777" w:rsidR="00C63299" w:rsidRPr="00510FCA" w:rsidRDefault="00C63299" w:rsidP="00D8456E">
            <w:pPr>
              <w:rPr>
                <w:b/>
                <w:bCs/>
              </w:rPr>
            </w:pPr>
            <w:r w:rsidRPr="00510FCA">
              <w:rPr>
                <w:b/>
                <w:bCs/>
              </w:rPr>
              <w:t>Heart Failure, Non-COVID patients</w:t>
            </w:r>
          </w:p>
        </w:tc>
        <w:tc>
          <w:tcPr>
            <w:tcW w:w="2416" w:type="dxa"/>
          </w:tcPr>
          <w:p w14:paraId="59C266DF" w14:textId="77777777" w:rsidR="00C63299" w:rsidRPr="00510FCA" w:rsidRDefault="00C63299" w:rsidP="00D8456E">
            <w:pPr>
              <w:rPr>
                <w:b/>
                <w:bCs/>
                <w:color w:val="FF0000"/>
              </w:rPr>
            </w:pPr>
            <w:r w:rsidRPr="00510FCA">
              <w:rPr>
                <w:b/>
                <w:bCs/>
              </w:rPr>
              <w:t>p-value</w:t>
            </w:r>
          </w:p>
        </w:tc>
      </w:tr>
      <w:tr w:rsidR="00C63299" w14:paraId="067CE30F" w14:textId="77777777" w:rsidTr="00D8456E">
        <w:trPr>
          <w:trHeight w:val="300"/>
        </w:trPr>
        <w:tc>
          <w:tcPr>
            <w:tcW w:w="2584" w:type="dxa"/>
          </w:tcPr>
          <w:p w14:paraId="730F9AD6" w14:textId="77777777" w:rsidR="00C63299" w:rsidRDefault="00C63299" w:rsidP="00D8456E">
            <w:r>
              <w:t>IgG positive patients</w:t>
            </w:r>
          </w:p>
        </w:tc>
        <w:tc>
          <w:tcPr>
            <w:tcW w:w="1944" w:type="dxa"/>
          </w:tcPr>
          <w:p w14:paraId="38B403DF" w14:textId="77777777" w:rsidR="00C63299" w:rsidRDefault="00C63299" w:rsidP="00D8456E">
            <w:r>
              <w:t>39%</w:t>
            </w:r>
          </w:p>
        </w:tc>
        <w:tc>
          <w:tcPr>
            <w:tcW w:w="2416" w:type="dxa"/>
          </w:tcPr>
          <w:p w14:paraId="6D054CDD" w14:textId="77777777" w:rsidR="00C63299" w:rsidRDefault="00C63299" w:rsidP="00D8456E">
            <w:r>
              <w:t>45%</w:t>
            </w:r>
          </w:p>
        </w:tc>
        <w:tc>
          <w:tcPr>
            <w:tcW w:w="2416" w:type="dxa"/>
            <w:vAlign w:val="center"/>
          </w:tcPr>
          <w:p w14:paraId="7F62A5BB" w14:textId="77777777" w:rsidR="00C63299" w:rsidRDefault="00C63299" w:rsidP="00D8456E">
            <w:r>
              <w:t>Not significant</w:t>
            </w:r>
          </w:p>
        </w:tc>
      </w:tr>
      <w:tr w:rsidR="00C63299" w14:paraId="3F0F2805" w14:textId="77777777" w:rsidTr="00D8456E">
        <w:trPr>
          <w:trHeight w:val="300"/>
        </w:trPr>
        <w:tc>
          <w:tcPr>
            <w:tcW w:w="2584" w:type="dxa"/>
          </w:tcPr>
          <w:p w14:paraId="001F6E20" w14:textId="77777777" w:rsidR="00C63299" w:rsidRDefault="00C63299" w:rsidP="00D8456E">
            <w:r>
              <w:t>IgM positive patients</w:t>
            </w:r>
          </w:p>
        </w:tc>
        <w:tc>
          <w:tcPr>
            <w:tcW w:w="1944" w:type="dxa"/>
          </w:tcPr>
          <w:p w14:paraId="50D07387" w14:textId="77777777" w:rsidR="00C63299" w:rsidRDefault="00C63299" w:rsidP="00D8456E">
            <w:r>
              <w:t>51%</w:t>
            </w:r>
          </w:p>
        </w:tc>
        <w:tc>
          <w:tcPr>
            <w:tcW w:w="2416" w:type="dxa"/>
          </w:tcPr>
          <w:p w14:paraId="67ECDAD5" w14:textId="77777777" w:rsidR="00C63299" w:rsidRDefault="00C63299" w:rsidP="00D8456E">
            <w:r>
              <w:t>30%</w:t>
            </w:r>
          </w:p>
        </w:tc>
        <w:tc>
          <w:tcPr>
            <w:tcW w:w="2416" w:type="dxa"/>
          </w:tcPr>
          <w:p w14:paraId="04940EF9" w14:textId="77777777" w:rsidR="00C63299" w:rsidRDefault="00C63299" w:rsidP="00D8456E">
            <w:r>
              <w:t>p = 0.03</w:t>
            </w:r>
          </w:p>
        </w:tc>
      </w:tr>
    </w:tbl>
    <w:p w14:paraId="437F1F2F" w14:textId="77777777" w:rsidR="00C63299" w:rsidRDefault="00C63299" w:rsidP="00C63299">
      <w:pPr>
        <w:spacing w:after="0" w:line="240" w:lineRule="auto"/>
        <w:rPr>
          <w:b/>
          <w:bCs/>
        </w:rPr>
      </w:pPr>
    </w:p>
    <w:p w14:paraId="7EDC1FF8" w14:textId="77777777" w:rsidR="00C63299" w:rsidRPr="00D11A14" w:rsidRDefault="00C63299" w:rsidP="00C63299">
      <w:pPr>
        <w:spacing w:after="0" w:line="240" w:lineRule="auto"/>
        <w:rPr>
          <w:vertAlign w:val="superscript"/>
        </w:rPr>
      </w:pPr>
      <w:r w:rsidRPr="00372C4E">
        <w:rPr>
          <w:b/>
          <w:bCs/>
        </w:rPr>
        <w:t xml:space="preserve">Table </w:t>
      </w:r>
      <w:r>
        <w:rPr>
          <w:b/>
          <w:bCs/>
        </w:rPr>
        <w:t>2</w:t>
      </w:r>
      <w:r>
        <w:t>. COVID and Aortic Stenosis Patients Positive for IgG and IgM antibodies</w:t>
      </w:r>
      <w:r>
        <w:rPr>
          <w:vertAlign w:val="superscript"/>
        </w:rPr>
        <w:t>18</w:t>
      </w:r>
    </w:p>
    <w:tbl>
      <w:tblPr>
        <w:tblStyle w:val="TableGrid"/>
        <w:tblW w:w="9360" w:type="dxa"/>
        <w:tblLayout w:type="fixed"/>
        <w:tblLook w:val="06A0" w:firstRow="1" w:lastRow="0" w:firstColumn="1" w:lastColumn="0" w:noHBand="1" w:noVBand="1"/>
      </w:tblPr>
      <w:tblGrid>
        <w:gridCol w:w="2584"/>
        <w:gridCol w:w="1944"/>
        <w:gridCol w:w="2416"/>
        <w:gridCol w:w="2416"/>
      </w:tblGrid>
      <w:tr w:rsidR="00C63299" w14:paraId="0D310C8F" w14:textId="77777777" w:rsidTr="00D8456E">
        <w:trPr>
          <w:trHeight w:val="300"/>
        </w:trPr>
        <w:tc>
          <w:tcPr>
            <w:tcW w:w="2584" w:type="dxa"/>
          </w:tcPr>
          <w:p w14:paraId="5DC35B63" w14:textId="77777777" w:rsidR="00C63299" w:rsidRDefault="00C63299" w:rsidP="00D8456E"/>
        </w:tc>
        <w:tc>
          <w:tcPr>
            <w:tcW w:w="1944" w:type="dxa"/>
          </w:tcPr>
          <w:p w14:paraId="2A95CD31" w14:textId="77777777" w:rsidR="00C63299" w:rsidRPr="00510FCA" w:rsidRDefault="00C63299" w:rsidP="00D8456E">
            <w:pPr>
              <w:rPr>
                <w:b/>
                <w:bCs/>
              </w:rPr>
            </w:pPr>
            <w:r w:rsidRPr="00510FCA">
              <w:rPr>
                <w:b/>
                <w:bCs/>
              </w:rPr>
              <w:t>COVID patients</w:t>
            </w:r>
          </w:p>
        </w:tc>
        <w:tc>
          <w:tcPr>
            <w:tcW w:w="2416" w:type="dxa"/>
          </w:tcPr>
          <w:p w14:paraId="4FED9DAD" w14:textId="77777777" w:rsidR="00C63299" w:rsidRPr="00510FCA" w:rsidRDefault="00C63299" w:rsidP="00D8456E">
            <w:pPr>
              <w:rPr>
                <w:b/>
                <w:bCs/>
              </w:rPr>
            </w:pPr>
            <w:r w:rsidRPr="00510FCA">
              <w:rPr>
                <w:b/>
                <w:bCs/>
              </w:rPr>
              <w:t>Aortic Stenosis, Non-COVID patients</w:t>
            </w:r>
          </w:p>
        </w:tc>
        <w:tc>
          <w:tcPr>
            <w:tcW w:w="2416" w:type="dxa"/>
          </w:tcPr>
          <w:p w14:paraId="69C6DD9F" w14:textId="77777777" w:rsidR="00C63299" w:rsidRPr="00510FCA" w:rsidRDefault="00C63299" w:rsidP="00D8456E">
            <w:pPr>
              <w:rPr>
                <w:b/>
                <w:bCs/>
                <w:color w:val="FF0000"/>
              </w:rPr>
            </w:pPr>
            <w:r w:rsidRPr="00510FCA">
              <w:rPr>
                <w:b/>
                <w:bCs/>
              </w:rPr>
              <w:t>p-value</w:t>
            </w:r>
          </w:p>
        </w:tc>
      </w:tr>
      <w:tr w:rsidR="00C63299" w14:paraId="1C7FED2A" w14:textId="77777777" w:rsidTr="00D8456E">
        <w:trPr>
          <w:trHeight w:val="300"/>
        </w:trPr>
        <w:tc>
          <w:tcPr>
            <w:tcW w:w="2584" w:type="dxa"/>
          </w:tcPr>
          <w:p w14:paraId="2DBB7DBA" w14:textId="77777777" w:rsidR="00C63299" w:rsidRDefault="00C63299" w:rsidP="00D8456E">
            <w:r>
              <w:t>IgG positive patients</w:t>
            </w:r>
          </w:p>
        </w:tc>
        <w:tc>
          <w:tcPr>
            <w:tcW w:w="1944" w:type="dxa"/>
          </w:tcPr>
          <w:p w14:paraId="0CD30FC1" w14:textId="77777777" w:rsidR="00C63299" w:rsidRDefault="00C63299" w:rsidP="00D8456E">
            <w:r>
              <w:t>39%</w:t>
            </w:r>
          </w:p>
        </w:tc>
        <w:tc>
          <w:tcPr>
            <w:tcW w:w="2416" w:type="dxa"/>
          </w:tcPr>
          <w:p w14:paraId="18102805" w14:textId="77777777" w:rsidR="00C63299" w:rsidRDefault="00C63299" w:rsidP="00D8456E">
            <w:r>
              <w:t>11%</w:t>
            </w:r>
          </w:p>
        </w:tc>
        <w:tc>
          <w:tcPr>
            <w:tcW w:w="2416" w:type="dxa"/>
            <w:vAlign w:val="center"/>
          </w:tcPr>
          <w:p w14:paraId="3EDC178A" w14:textId="77777777" w:rsidR="00C63299" w:rsidRDefault="00C63299" w:rsidP="00D8456E">
            <w:r>
              <w:t>p = 0.03</w:t>
            </w:r>
          </w:p>
        </w:tc>
      </w:tr>
      <w:tr w:rsidR="00C63299" w14:paraId="0D4AC691" w14:textId="77777777" w:rsidTr="00D8456E">
        <w:trPr>
          <w:trHeight w:val="300"/>
        </w:trPr>
        <w:tc>
          <w:tcPr>
            <w:tcW w:w="2584" w:type="dxa"/>
          </w:tcPr>
          <w:p w14:paraId="72BA2A8A" w14:textId="77777777" w:rsidR="00C63299" w:rsidRDefault="00C63299" w:rsidP="00D8456E">
            <w:r>
              <w:t>IgM positive patients</w:t>
            </w:r>
          </w:p>
        </w:tc>
        <w:tc>
          <w:tcPr>
            <w:tcW w:w="1944" w:type="dxa"/>
          </w:tcPr>
          <w:p w14:paraId="6AFED881" w14:textId="77777777" w:rsidR="00C63299" w:rsidRDefault="00C63299" w:rsidP="00D8456E">
            <w:r>
              <w:t>51%</w:t>
            </w:r>
          </w:p>
        </w:tc>
        <w:tc>
          <w:tcPr>
            <w:tcW w:w="2416" w:type="dxa"/>
          </w:tcPr>
          <w:p w14:paraId="4DC4CE1D" w14:textId="77777777" w:rsidR="00C63299" w:rsidRDefault="00C63299" w:rsidP="00D8456E">
            <w:r>
              <w:t>10%</w:t>
            </w:r>
          </w:p>
        </w:tc>
        <w:tc>
          <w:tcPr>
            <w:tcW w:w="2416" w:type="dxa"/>
          </w:tcPr>
          <w:p w14:paraId="1224151D" w14:textId="77777777" w:rsidR="00C63299" w:rsidRDefault="00C63299" w:rsidP="00D8456E">
            <w:r>
              <w:t>p &lt; 0.01</w:t>
            </w:r>
          </w:p>
        </w:tc>
      </w:tr>
    </w:tbl>
    <w:p w14:paraId="08B051AA" w14:textId="77777777" w:rsidR="00C63299" w:rsidRDefault="00C63299" w:rsidP="00C63299">
      <w:pPr>
        <w:spacing w:line="240" w:lineRule="auto"/>
      </w:pPr>
    </w:p>
    <w:p w14:paraId="6F39A7F1" w14:textId="77777777" w:rsidR="00C63299" w:rsidRPr="008611CB" w:rsidRDefault="00C63299" w:rsidP="00C63299">
      <w:pPr>
        <w:spacing w:line="240" w:lineRule="auto"/>
        <w:rPr>
          <w:sz w:val="24"/>
          <w:szCs w:val="24"/>
        </w:rPr>
      </w:pPr>
      <w:r w:rsidRPr="008611CB">
        <w:rPr>
          <w:sz w:val="24"/>
          <w:szCs w:val="24"/>
        </w:rPr>
        <w:t>Viral Invasion of Myocardial Interstitial Cells</w:t>
      </w:r>
    </w:p>
    <w:p w14:paraId="11ECC9CE" w14:textId="77777777" w:rsidR="00C63299" w:rsidRDefault="00C63299" w:rsidP="00C63299">
      <w:pPr>
        <w:spacing w:line="240" w:lineRule="auto"/>
      </w:pPr>
      <w:r>
        <w:lastRenderedPageBreak/>
        <w:t>A 2020 Italian case study suggests that myocardial interstitial cells may undergo viral invasion and inflammation. The authors admitted the COVID, case-study patient to the hospital</w:t>
      </w:r>
      <w:r w:rsidRPr="00BD5225">
        <w:t>. The patient experienced respiratory distress, hypotension, and cardiogenic shock.</w:t>
      </w:r>
      <w:r w:rsidRPr="00BD5225">
        <w:rPr>
          <w:vertAlign w:val="superscript"/>
        </w:rPr>
        <w:t>19</w:t>
      </w:r>
      <w:r w:rsidRPr="00BD5225">
        <w:t xml:space="preserve"> At one point the</w:t>
      </w:r>
      <w:r>
        <w:t xml:space="preserve"> patient’s ejection fraction was 34%, but then lowered to 25% three hours later. The authors ordered an endomyocardial biopsy. The biopsy showed viral particles in the myocardial interstitial cells.</w:t>
      </w:r>
      <w:r>
        <w:rPr>
          <w:vertAlign w:val="superscript"/>
        </w:rPr>
        <w:t>19</w:t>
      </w:r>
      <w:r>
        <w:t xml:space="preserve"> This case study demonstrated that COVID was more than a respiratory illness.</w:t>
      </w:r>
    </w:p>
    <w:p w14:paraId="4406A40D" w14:textId="77777777" w:rsidR="00C63299" w:rsidRDefault="00C63299" w:rsidP="00C63299">
      <w:pPr>
        <w:spacing w:line="240" w:lineRule="auto"/>
      </w:pPr>
    </w:p>
    <w:p w14:paraId="4DD053C0" w14:textId="77777777" w:rsidR="00C63299" w:rsidRPr="008611CB" w:rsidRDefault="00C63299" w:rsidP="00C63299">
      <w:pPr>
        <w:spacing w:line="240" w:lineRule="auto"/>
        <w:rPr>
          <w:sz w:val="24"/>
          <w:szCs w:val="24"/>
        </w:rPr>
      </w:pPr>
      <w:r w:rsidRPr="008611CB">
        <w:rPr>
          <w:sz w:val="24"/>
          <w:szCs w:val="24"/>
        </w:rPr>
        <w:t>The Renin-Angiotensin-Aldosterone System’s Theoretical Role in Acute COVID</w:t>
      </w:r>
    </w:p>
    <w:p w14:paraId="4C29BC19" w14:textId="77777777" w:rsidR="00C63299" w:rsidRDefault="00C63299" w:rsidP="00C63299">
      <w:pPr>
        <w:spacing w:line="240" w:lineRule="auto"/>
      </w:pPr>
      <w:r>
        <w:t xml:space="preserve">A compelling theory involves the Renin-Angiotensin-Aldosterone System (RAAS). </w:t>
      </w:r>
      <w:r w:rsidRPr="00A056CE">
        <w:t>RAAS plays a role in cell growth, differentiation, proliferation, and apoptosis. It also aids hormone secretion and tissue inflammation and fibrosis.</w:t>
      </w:r>
      <w:r>
        <w:rPr>
          <w:vertAlign w:val="superscript"/>
        </w:rPr>
        <w:t>20</w:t>
      </w:r>
      <w:r>
        <w:t xml:space="preserve"> These many functions highlight RAAS’s pervasiveness in the body. </w:t>
      </w:r>
    </w:p>
    <w:p w14:paraId="7821F2A1" w14:textId="77777777" w:rsidR="00C63299" w:rsidRDefault="00C63299" w:rsidP="00C63299">
      <w:pPr>
        <w:spacing w:line="240" w:lineRule="auto"/>
      </w:pPr>
      <w:r>
        <w:t>RAAS forms Angiotensin II (AngII). AngII binds to either the AT1 receptors (AT1R) or the AT2 receptors (AT2R). When it binds to AT1R cell growth and proliferation, blood coagulation, fibrosis, oxidative stress, hypertrophy, extracellular remodeling, and apoptosis can occur. When it binds to AT2R vasodilation, vascular protection, anti-proliferation, anti-inflammatory, anti-fibrotic, antioxidant, and anti-apoptosis activities can occur.</w:t>
      </w:r>
      <w:r>
        <w:rPr>
          <w:vertAlign w:val="superscript"/>
        </w:rPr>
        <w:t>20</w:t>
      </w:r>
      <w:r>
        <w:t xml:space="preserve"> This makes AT1R the “bad guy” and AT2R the “good guy.” Furthermore, the ACE2 enzyme converts AngII to Angiotensin (1-7). Angiotensin (1-7) binds to the Mas receptor, which stimulates the same activities as AT2R.</w:t>
      </w:r>
      <w:r>
        <w:rPr>
          <w:vertAlign w:val="superscript"/>
        </w:rPr>
        <w:t>20</w:t>
      </w:r>
      <w:r>
        <w:t xml:space="preserve"> </w:t>
      </w:r>
    </w:p>
    <w:p w14:paraId="49660BBD" w14:textId="77777777" w:rsidR="00C63299" w:rsidRDefault="00C63299" w:rsidP="00C63299">
      <w:pPr>
        <w:spacing w:line="240" w:lineRule="auto"/>
      </w:pPr>
    </w:p>
    <w:p w14:paraId="6ADD383C" w14:textId="77777777" w:rsidR="00C63299" w:rsidRDefault="00C63299" w:rsidP="00C63299">
      <w:pPr>
        <w:spacing w:line="240" w:lineRule="auto"/>
      </w:pPr>
      <w:r>
        <w:t>SAR-CoV-2, the virus that causes COVID, enters cells by linking itself to ACE2. This reduces the amount of available ACE2. This means more AngII is available and left unchecked. Unchecked AngII leads to rampant endothelial damage, thromboinflammation, and faulty immune responses. These irregularities may lead to organ damage.</w:t>
      </w:r>
      <w:r>
        <w:rPr>
          <w:vertAlign w:val="superscript"/>
        </w:rPr>
        <w:t>20</w:t>
      </w:r>
      <w:r>
        <w:t xml:space="preserve"> </w:t>
      </w:r>
    </w:p>
    <w:p w14:paraId="43C34930" w14:textId="77777777" w:rsidR="00C63299" w:rsidRDefault="00C63299" w:rsidP="00C63299">
      <w:pPr>
        <w:spacing w:line="240" w:lineRule="auto"/>
      </w:pPr>
    </w:p>
    <w:p w14:paraId="35DB85CA" w14:textId="77777777" w:rsidR="00C63299" w:rsidRPr="008611CB" w:rsidRDefault="00C63299" w:rsidP="00C63299">
      <w:pPr>
        <w:spacing w:line="240" w:lineRule="auto"/>
        <w:rPr>
          <w:sz w:val="24"/>
          <w:szCs w:val="24"/>
        </w:rPr>
      </w:pPr>
      <w:r w:rsidRPr="008611CB">
        <w:rPr>
          <w:sz w:val="24"/>
          <w:szCs w:val="24"/>
        </w:rPr>
        <w:t>RAAS’s Theoretical Role in Long COVID</w:t>
      </w:r>
    </w:p>
    <w:p w14:paraId="41A85792" w14:textId="77777777" w:rsidR="00C63299" w:rsidRDefault="00C63299" w:rsidP="00C63299">
      <w:pPr>
        <w:spacing w:line="240" w:lineRule="auto"/>
      </w:pPr>
      <w:r w:rsidRPr="007932B9">
        <w:t>In a 2021 study, Arthur et al tested COVID patients for anti-ACE2 antibodies. The COVID group had inpatients and outpatients. They also tested 13 non-COVID outpatients.</w:t>
      </w:r>
      <w:r w:rsidRPr="007932B9">
        <w:rPr>
          <w:vertAlign w:val="superscript"/>
        </w:rPr>
        <w:t>21</w:t>
      </w:r>
      <w:r w:rsidRPr="007932B9">
        <w:t xml:space="preserve"> They found anti-ACE2 antibodies present in 93.3% of hospitalized patients, 5% of COVID (+) outpatients</w:t>
      </w:r>
      <w:r>
        <w:t>, and 0% of COVID (-) outpatients.</w:t>
      </w:r>
      <w:r>
        <w:rPr>
          <w:vertAlign w:val="superscript"/>
        </w:rPr>
        <w:t>21</w:t>
      </w:r>
      <w:r>
        <w:t xml:space="preserve"> The sample size was small. </w:t>
      </w:r>
      <w:r w:rsidRPr="007A6B00">
        <w:t>A larger sample size in future research will help determine if COVID is the true culprit.</w:t>
      </w:r>
      <w:r>
        <w:t xml:space="preserve"> The hypothesis is intriguing since COVID’s virus tethers itself to ACE2 to enter cells. The researchers speculated that this antibody formation could increase AngII availability.</w:t>
      </w:r>
      <w:r>
        <w:rPr>
          <w:vertAlign w:val="superscript"/>
        </w:rPr>
        <w:t>21</w:t>
      </w:r>
      <w:r>
        <w:t xml:space="preserve"> AngII creates a pro-inflammatory state in the body, which may cause Long COVID symptoms.</w:t>
      </w:r>
      <w:r>
        <w:rPr>
          <w:vertAlign w:val="superscript"/>
        </w:rPr>
        <w:t>20</w:t>
      </w:r>
      <w:r>
        <w:t xml:space="preserve"> </w:t>
      </w:r>
    </w:p>
    <w:p w14:paraId="723456ED" w14:textId="77777777" w:rsidR="00C63299" w:rsidRDefault="00C63299" w:rsidP="00C63299">
      <w:pPr>
        <w:spacing w:line="240" w:lineRule="auto"/>
      </w:pPr>
    </w:p>
    <w:p w14:paraId="5CF7A899" w14:textId="77777777" w:rsidR="00C63299" w:rsidRPr="00395022" w:rsidRDefault="00C63299" w:rsidP="00C63299">
      <w:pPr>
        <w:spacing w:line="240" w:lineRule="auto"/>
        <w:rPr>
          <w:sz w:val="24"/>
          <w:szCs w:val="24"/>
        </w:rPr>
      </w:pPr>
      <w:r w:rsidRPr="00395022">
        <w:rPr>
          <w:sz w:val="24"/>
          <w:szCs w:val="24"/>
        </w:rPr>
        <w:t>Use of ACE Inhibitors and ARBs (angiotensin receptor blockers) in Long COVID</w:t>
      </w:r>
    </w:p>
    <w:p w14:paraId="240BE201" w14:textId="77777777" w:rsidR="00C63299" w:rsidRDefault="00C63299" w:rsidP="00C63299">
      <w:pPr>
        <w:spacing w:line="240" w:lineRule="auto"/>
      </w:pPr>
      <w:r>
        <w:t>The REMAP-CAP trial compared the use of oral ACE inhibitors, ARBs, and placebo in hospitalized COVID patients.</w:t>
      </w:r>
      <w:r>
        <w:rPr>
          <w:vertAlign w:val="superscript"/>
        </w:rPr>
        <w:t>22</w:t>
      </w:r>
      <w:r>
        <w:t xml:space="preserve"> The open-label trial randomized patients to one of the three groups.</w:t>
      </w:r>
      <w:r>
        <w:rPr>
          <w:vertAlign w:val="superscript"/>
        </w:rPr>
        <w:t>22</w:t>
      </w:r>
      <w:r>
        <w:t xml:space="preserve"> The measured outcome was a composite score of “organ support-free” days. If a patient died during the study, then the composite score was -1. If a patient required no organ support, then the composite </w:t>
      </w:r>
      <w:r>
        <w:lastRenderedPageBreak/>
        <w:t>score was 22. Investigators defined organ support as respiratory or cardiovascular support.</w:t>
      </w:r>
      <w:r>
        <w:rPr>
          <w:vertAlign w:val="superscript"/>
        </w:rPr>
        <w:t>22</w:t>
      </w:r>
      <w:r>
        <w:t xml:space="preserve"> The study found that ACE inhibitors and ARBs did not significantly increase the composite score.</w:t>
      </w:r>
      <w:r>
        <w:rPr>
          <w:vertAlign w:val="superscript"/>
        </w:rPr>
        <w:t>22</w:t>
      </w:r>
      <w:r>
        <w:t xml:space="preserve"> In fact, they calculated a 95% probability that ACE inhibitors and ARBs worsened outcomes.</w:t>
      </w:r>
      <w:r>
        <w:rPr>
          <w:vertAlign w:val="superscript"/>
        </w:rPr>
        <w:t>22</w:t>
      </w:r>
      <w:r>
        <w:t xml:space="preserve"> The trial discontinued early due to safety concerns in the treatment groups.</w:t>
      </w:r>
      <w:r>
        <w:rPr>
          <w:vertAlign w:val="superscript"/>
        </w:rPr>
        <w:t>22</w:t>
      </w:r>
      <w:r>
        <w:t xml:space="preserve"> The current evidence shows that clinicians should avoid ACE inhibitors and ARBs in acute COVID infections. The benefit of these medications in Long COVID is unknown. </w:t>
      </w:r>
    </w:p>
    <w:p w14:paraId="76EA13D5" w14:textId="77777777" w:rsidR="00C63299" w:rsidRDefault="00C63299" w:rsidP="00C63299">
      <w:pPr>
        <w:spacing w:line="240" w:lineRule="auto"/>
      </w:pPr>
    </w:p>
    <w:p w14:paraId="0D07B98F" w14:textId="77777777" w:rsidR="00C63299" w:rsidRPr="00395022" w:rsidRDefault="00C63299" w:rsidP="00C63299">
      <w:pPr>
        <w:spacing w:line="240" w:lineRule="auto"/>
        <w:rPr>
          <w:sz w:val="28"/>
          <w:szCs w:val="28"/>
        </w:rPr>
      </w:pPr>
      <w:r w:rsidRPr="00395022">
        <w:rPr>
          <w:sz w:val="28"/>
          <w:szCs w:val="28"/>
        </w:rPr>
        <w:t>The Role of Vaccination in Long COVID</w:t>
      </w:r>
    </w:p>
    <w:p w14:paraId="7C665B11" w14:textId="77777777" w:rsidR="00C63299" w:rsidRDefault="00C63299" w:rsidP="00C63299">
      <w:pPr>
        <w:spacing w:line="240" w:lineRule="auto"/>
      </w:pPr>
      <w:r>
        <w:t>COVID vaccines’ side effects prevent some people from receiving them. Reports of post-mRNA vaccination myocarditis are common. The CDC states that myocarditis and pericarditis after vaccination is “rare.”</w:t>
      </w:r>
      <w:r>
        <w:rPr>
          <w:vertAlign w:val="superscript"/>
        </w:rPr>
        <w:t>23</w:t>
      </w:r>
      <w:r>
        <w:t xml:space="preserve"> The risks associated with COVID infection outweigh the risks associated with vaccination. Research shows that myocarditis is more common with COVID infection compared to vaccination.</w:t>
      </w:r>
      <w:r>
        <w:rPr>
          <w:vertAlign w:val="superscript"/>
        </w:rPr>
        <w:t>24</w:t>
      </w:r>
      <w:r>
        <w:t xml:space="preserve"> </w:t>
      </w:r>
    </w:p>
    <w:p w14:paraId="7DC09D3F" w14:textId="77777777" w:rsidR="00C63299" w:rsidRDefault="00C63299" w:rsidP="00C63299">
      <w:pPr>
        <w:spacing w:line="240" w:lineRule="auto"/>
      </w:pPr>
      <w:r>
        <w:t>COVID vaccination has a protective effect against Long COVID. Long COVID develops more often in unvaccinated patients and with repeat COVID infections.</w:t>
      </w:r>
      <w:r>
        <w:rPr>
          <w:vertAlign w:val="superscript"/>
        </w:rPr>
        <w:t>25</w:t>
      </w:r>
      <w:r>
        <w:t xml:space="preserve"> A systemic review by Wantanabe et al found that two COVID vaccine doses significantly reduced Long COVID risk compared to zero doses.</w:t>
      </w:r>
      <w:r>
        <w:rPr>
          <w:vertAlign w:val="superscript"/>
        </w:rPr>
        <w:t>4</w:t>
      </w:r>
      <w:r>
        <w:t xml:space="preserve"> Vaccinated patients received the doses before COVID infection. The review also found that vaccination did not provide symptoms relief in most Long COVID patients. Only 20.3% of Long COVID patients experienced symptom improvement after vaccination. In contrast, 20.5% of Long COVID patients self-reported symptom worsening after vaccination. The remaining patients reported no changes in symptoms.</w:t>
      </w:r>
      <w:r>
        <w:rPr>
          <w:vertAlign w:val="superscript"/>
        </w:rPr>
        <w:t>4</w:t>
      </w:r>
      <w:r>
        <w:t xml:space="preserve"> </w:t>
      </w:r>
    </w:p>
    <w:p w14:paraId="615D86AD" w14:textId="77777777" w:rsidR="00C63299" w:rsidRDefault="00C63299" w:rsidP="00C63299">
      <w:pPr>
        <w:spacing w:line="240" w:lineRule="auto"/>
      </w:pPr>
    </w:p>
    <w:p w14:paraId="5C048060" w14:textId="77777777" w:rsidR="00C63299" w:rsidRPr="00395022" w:rsidRDefault="00C63299" w:rsidP="00C63299">
      <w:pPr>
        <w:spacing w:line="240" w:lineRule="auto"/>
        <w:rPr>
          <w:sz w:val="28"/>
          <w:szCs w:val="28"/>
        </w:rPr>
      </w:pPr>
      <w:r w:rsidRPr="00395022">
        <w:rPr>
          <w:sz w:val="28"/>
          <w:szCs w:val="28"/>
        </w:rPr>
        <w:t>Cardiovascular Risks Associated with Long COVID</w:t>
      </w:r>
    </w:p>
    <w:p w14:paraId="33BDC170" w14:textId="77777777" w:rsidR="00C63299" w:rsidRDefault="00C63299" w:rsidP="00C63299">
      <w:pPr>
        <w:spacing w:line="240" w:lineRule="auto"/>
      </w:pPr>
      <w:r>
        <w:t>Long COVID heightens the risk for numerous cardiac conditions: heart failure, hypertension, myocardial fibrosis, and sudden cardiac death.</w:t>
      </w:r>
      <w:r>
        <w:rPr>
          <w:vertAlign w:val="superscript"/>
        </w:rPr>
        <w:t>7</w:t>
      </w:r>
      <w:r>
        <w:t xml:space="preserve"> Increased risk of clotting seems to appear after the acute infection resolves. One study showed a heightened clotting risk within 45 days of hospital discharge.</w:t>
      </w:r>
      <w:r>
        <w:rPr>
          <w:vertAlign w:val="superscript"/>
        </w:rPr>
        <w:t>10</w:t>
      </w:r>
      <w:r>
        <w:t xml:space="preserve"> Other conditions that may crop up after acute infection include POTS (postural orthostatic tachycardia syndrome), chest pain, dyspnea, thrombosis, and various </w:t>
      </w:r>
      <w:r w:rsidRPr="006E006A">
        <w:t>arryt</w:t>
      </w:r>
      <w:r w:rsidRPr="006E006A">
        <w:rPr>
          <w:rStyle w:val="CommentReference"/>
          <w:sz w:val="22"/>
          <w:szCs w:val="22"/>
        </w:rPr>
        <w:t>h</w:t>
      </w:r>
      <w:r w:rsidRPr="006E006A">
        <w:t>mias.</w:t>
      </w:r>
      <w:r>
        <w:rPr>
          <w:vertAlign w:val="superscript"/>
        </w:rPr>
        <w:t>10</w:t>
      </w:r>
      <w:r>
        <w:t xml:space="preserve"> </w:t>
      </w:r>
    </w:p>
    <w:p w14:paraId="23CEEE2F" w14:textId="77777777" w:rsidR="00C63299" w:rsidRDefault="00C63299" w:rsidP="00C63299">
      <w:pPr>
        <w:spacing w:line="240" w:lineRule="auto"/>
      </w:pPr>
    </w:p>
    <w:p w14:paraId="73E3F1E4" w14:textId="3093ED85" w:rsidR="00C63299" w:rsidRDefault="00C63299" w:rsidP="00C63299">
      <w:pPr>
        <w:rPr>
          <w:b/>
          <w:bCs/>
          <w:color w:val="FF0000"/>
        </w:rPr>
      </w:pPr>
      <w:r>
        <w:rPr>
          <w:b/>
          <w:bCs/>
          <w:color w:val="FF0000"/>
        </w:rPr>
        <w:t>For the full version</w:t>
      </w:r>
      <w:r>
        <w:rPr>
          <w:b/>
          <w:bCs/>
          <w:color w:val="FF0000"/>
        </w:rPr>
        <w:t>*</w:t>
      </w:r>
      <w:r>
        <w:rPr>
          <w:b/>
          <w:bCs/>
          <w:color w:val="FF0000"/>
        </w:rPr>
        <w:t xml:space="preserve"> of this writing sample please request via email at </w:t>
      </w:r>
      <w:hyperlink r:id="rId5" w:history="1">
        <w:r w:rsidRPr="00F21E03">
          <w:rPr>
            <w:rStyle w:val="Hyperlink"/>
            <w:b/>
            <w:bCs/>
          </w:rPr>
          <w:t>rachael@dahliamed.com</w:t>
        </w:r>
      </w:hyperlink>
    </w:p>
    <w:p w14:paraId="42F429C2" w14:textId="77777777" w:rsidR="00C63299" w:rsidRDefault="00C63299" w:rsidP="00C63299">
      <w:pPr>
        <w:rPr>
          <w:b/>
          <w:bCs/>
          <w:color w:val="FF0000"/>
        </w:rPr>
      </w:pPr>
    </w:p>
    <w:p w14:paraId="36ADDE82" w14:textId="6E30A998" w:rsidR="00C63299" w:rsidRDefault="00C63299" w:rsidP="00C63299">
      <w:pPr>
        <w:rPr>
          <w:sz w:val="24"/>
          <w:szCs w:val="24"/>
        </w:rPr>
      </w:pPr>
      <w:r>
        <w:rPr>
          <w:b/>
          <w:bCs/>
          <w:color w:val="FF0000"/>
        </w:rPr>
        <w:t xml:space="preserve">*This document also has an annotated version that is available upon request with references. </w:t>
      </w:r>
    </w:p>
    <w:sectPr w:rsidR="00C632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E6A3999"/>
    <w:multiLevelType w:val="hybridMultilevel"/>
    <w:tmpl w:val="B1D242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3B3C6B"/>
    <w:multiLevelType w:val="hybridMultilevel"/>
    <w:tmpl w:val="92E281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EB77B0"/>
    <w:multiLevelType w:val="hybridMultilevel"/>
    <w:tmpl w:val="9F5AB314"/>
    <w:lvl w:ilvl="0" w:tplc="96FCCD56">
      <w:start w:val="1"/>
      <w:numFmt w:val="decimal"/>
      <w:lvlText w:val="%1."/>
      <w:lvlJc w:val="left"/>
      <w:pPr>
        <w:ind w:left="720" w:hanging="360"/>
      </w:pPr>
      <w:rPr>
        <w:rFonts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38465425">
    <w:abstractNumId w:val="1"/>
  </w:num>
  <w:num w:numId="2" w16cid:durableId="752750414">
    <w:abstractNumId w:val="0"/>
  </w:num>
  <w:num w:numId="3" w16cid:durableId="8699544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299"/>
    <w:rsid w:val="00243B69"/>
    <w:rsid w:val="00C63299"/>
    <w:rsid w:val="00DD20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232F2"/>
  <w15:chartTrackingRefBased/>
  <w15:docId w15:val="{FE436878-3018-4DB9-8440-A7465357A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299"/>
  </w:style>
  <w:style w:type="paragraph" w:styleId="Heading1">
    <w:name w:val="heading 1"/>
    <w:basedOn w:val="Normal"/>
    <w:next w:val="Normal"/>
    <w:link w:val="Heading1Char"/>
    <w:uiPriority w:val="9"/>
    <w:qFormat/>
    <w:rsid w:val="00C632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32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32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32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32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32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32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32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32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32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32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32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32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32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32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32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32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3299"/>
    <w:rPr>
      <w:rFonts w:eastAsiaTheme="majorEastAsia" w:cstheme="majorBidi"/>
      <w:color w:val="272727" w:themeColor="text1" w:themeTint="D8"/>
    </w:rPr>
  </w:style>
  <w:style w:type="paragraph" w:styleId="Title">
    <w:name w:val="Title"/>
    <w:basedOn w:val="Normal"/>
    <w:next w:val="Normal"/>
    <w:link w:val="TitleChar"/>
    <w:uiPriority w:val="10"/>
    <w:qFormat/>
    <w:rsid w:val="00C632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32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32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32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3299"/>
    <w:pPr>
      <w:spacing w:before="160"/>
      <w:jc w:val="center"/>
    </w:pPr>
    <w:rPr>
      <w:i/>
      <w:iCs/>
      <w:color w:val="404040" w:themeColor="text1" w:themeTint="BF"/>
    </w:rPr>
  </w:style>
  <w:style w:type="character" w:customStyle="1" w:styleId="QuoteChar">
    <w:name w:val="Quote Char"/>
    <w:basedOn w:val="DefaultParagraphFont"/>
    <w:link w:val="Quote"/>
    <w:uiPriority w:val="29"/>
    <w:rsid w:val="00C63299"/>
    <w:rPr>
      <w:i/>
      <w:iCs/>
      <w:color w:val="404040" w:themeColor="text1" w:themeTint="BF"/>
    </w:rPr>
  </w:style>
  <w:style w:type="paragraph" w:styleId="ListParagraph">
    <w:name w:val="List Paragraph"/>
    <w:basedOn w:val="Normal"/>
    <w:uiPriority w:val="34"/>
    <w:qFormat/>
    <w:rsid w:val="00C63299"/>
    <w:pPr>
      <w:ind w:left="720"/>
      <w:contextualSpacing/>
    </w:pPr>
  </w:style>
  <w:style w:type="character" w:styleId="IntenseEmphasis">
    <w:name w:val="Intense Emphasis"/>
    <w:basedOn w:val="DefaultParagraphFont"/>
    <w:uiPriority w:val="21"/>
    <w:qFormat/>
    <w:rsid w:val="00C63299"/>
    <w:rPr>
      <w:i/>
      <w:iCs/>
      <w:color w:val="0F4761" w:themeColor="accent1" w:themeShade="BF"/>
    </w:rPr>
  </w:style>
  <w:style w:type="paragraph" w:styleId="IntenseQuote">
    <w:name w:val="Intense Quote"/>
    <w:basedOn w:val="Normal"/>
    <w:next w:val="Normal"/>
    <w:link w:val="IntenseQuoteChar"/>
    <w:uiPriority w:val="30"/>
    <w:qFormat/>
    <w:rsid w:val="00C632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3299"/>
    <w:rPr>
      <w:i/>
      <w:iCs/>
      <w:color w:val="0F4761" w:themeColor="accent1" w:themeShade="BF"/>
    </w:rPr>
  </w:style>
  <w:style w:type="character" w:styleId="IntenseReference">
    <w:name w:val="Intense Reference"/>
    <w:basedOn w:val="DefaultParagraphFont"/>
    <w:uiPriority w:val="32"/>
    <w:qFormat/>
    <w:rsid w:val="00C63299"/>
    <w:rPr>
      <w:b/>
      <w:bCs/>
      <w:smallCaps/>
      <w:color w:val="0F4761" w:themeColor="accent1" w:themeShade="BF"/>
      <w:spacing w:val="5"/>
    </w:rPr>
  </w:style>
  <w:style w:type="character" w:styleId="CommentReference">
    <w:name w:val="annotation reference"/>
    <w:basedOn w:val="DefaultParagraphFont"/>
    <w:uiPriority w:val="99"/>
    <w:semiHidden/>
    <w:unhideWhenUsed/>
    <w:rsid w:val="00C63299"/>
    <w:rPr>
      <w:sz w:val="16"/>
      <w:szCs w:val="16"/>
    </w:rPr>
  </w:style>
  <w:style w:type="table" w:styleId="TableGrid">
    <w:name w:val="Table Grid"/>
    <w:basedOn w:val="TableNormal"/>
    <w:uiPriority w:val="59"/>
    <w:rsid w:val="00C6329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C63299"/>
    <w:rPr>
      <w:color w:val="467886" w:themeColor="hyperlink"/>
      <w:u w:val="single"/>
    </w:rPr>
  </w:style>
  <w:style w:type="character" w:styleId="UnresolvedMention">
    <w:name w:val="Unresolved Mention"/>
    <w:basedOn w:val="DefaultParagraphFont"/>
    <w:uiPriority w:val="99"/>
    <w:semiHidden/>
    <w:unhideWhenUsed/>
    <w:rsid w:val="00C632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achael@dahliame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1569</Words>
  <Characters>8949</Characters>
  <Application>Microsoft Office Word</Application>
  <DocSecurity>0</DocSecurity>
  <Lines>74</Lines>
  <Paragraphs>20</Paragraphs>
  <ScaleCrop>false</ScaleCrop>
  <Company/>
  <LinksUpToDate>false</LinksUpToDate>
  <CharactersWithSpaces>10498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Hills</dc:creator>
  <cp:keywords/>
  <dc:description/>
  <cp:lastModifiedBy>Rachael Hills</cp:lastModifiedBy>
  <cp:revision>1</cp:revision>
  <dcterms:created xsi:type="dcterms:W3CDTF">2024-12-19T18:31:00Z</dcterms:created>
  <dcterms:modified xsi:type="dcterms:W3CDTF">2024-12-19T18:34:00Z</dcterms:modified>
</cp:coreProperties>
</file>